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AC" w:rsidRPr="00B11D0E" w:rsidRDefault="00EB7473">
      <w:pPr>
        <w:shd w:val="clear" w:color="auto" w:fill="FFFFFF"/>
        <w:spacing w:after="0" w:line="240" w:lineRule="auto"/>
        <w:jc w:val="center"/>
        <w:rPr>
          <w:rFonts w:ascii="Times New Roman" w:eastAsia="Times New Roman" w:hAnsi="Times New Roman"/>
          <w:b/>
          <w:bCs/>
          <w:color w:val="000000"/>
          <w:sz w:val="36"/>
          <w:szCs w:val="36"/>
          <w:lang w:eastAsia="fr-FR"/>
        </w:rPr>
      </w:pPr>
      <w:r w:rsidRPr="00B11D0E">
        <w:rPr>
          <w:rFonts w:ascii="Times New Roman" w:eastAsia="Times New Roman" w:hAnsi="Times New Roman"/>
          <w:b/>
          <w:bCs/>
          <w:color w:val="000000"/>
          <w:sz w:val="36"/>
          <w:szCs w:val="36"/>
          <w:lang w:eastAsia="fr-FR"/>
        </w:rPr>
        <w:t>ASSEMBLÉE NATIONALE</w:t>
      </w:r>
    </w:p>
    <w:p w:rsidR="004E71AC" w:rsidRPr="00B11D0E" w:rsidRDefault="00EB7473">
      <w:pPr>
        <w:shd w:val="clear" w:color="auto" w:fill="FFFFFF"/>
        <w:spacing w:before="240" w:after="240" w:line="240" w:lineRule="auto"/>
        <w:rPr>
          <w:rFonts w:ascii="Times New Roman" w:hAnsi="Times New Roman"/>
        </w:rPr>
      </w:pPr>
      <w:r w:rsidRPr="00B11D0E">
        <w:rPr>
          <w:rFonts w:ascii="Times New Roman" w:eastAsia="Times New Roman" w:hAnsi="Times New Roman"/>
          <w:color w:val="000000"/>
          <w:sz w:val="24"/>
          <w:szCs w:val="24"/>
          <w:lang w:eastAsia="fr-FR"/>
        </w:rPr>
        <w:t xml:space="preserve">                                                14 OCTOBRE 2019</w:t>
      </w:r>
      <w:r w:rsidR="004417BE" w:rsidRPr="004417BE">
        <w:rPr>
          <w:rFonts w:ascii="Times New Roman" w:eastAsia="Times New Roman" w:hAnsi="Times New Roman"/>
          <w:noProof/>
          <w:color w:val="000000"/>
          <w:sz w:val="24"/>
          <w:szCs w:val="24"/>
          <w:lang w:eastAsia="fr-FR"/>
        </w:rPr>
      </w:r>
      <w:r w:rsidR="004417BE">
        <w:rPr>
          <w:rFonts w:ascii="Times New Roman" w:eastAsia="Times New Roman" w:hAnsi="Times New Roman"/>
          <w:noProof/>
          <w:color w:val="000000"/>
          <w:sz w:val="24"/>
          <w:szCs w:val="24"/>
          <w:lang w:eastAsia="fr-FR"/>
        </w:rPr>
        <w:pict>
          <v:rect id="Horizontal Line 1" o:spid="_x0000_s1026" style="width:0;height:.75pt;visibility:visible;mso-wrap-style:square;mso-left-percent:-10001;mso-top-percent:-10001;mso-position-horizontal:absolute;mso-position-horizontal-relative:char;mso-position-vertical:absolute;mso-position-vertical-relative:line;mso-left-percent:-10001;mso-top-percent:-10001;v-text-anchor:top" filled="f" strokecolor="#a0a0a0" strokeweight=".26467mm">
            <v:textbox inset="0,0,0,0"/>
            <w10:wrap type="none"/>
            <w10:anchorlock/>
          </v:rect>
        </w:pict>
      </w:r>
    </w:p>
    <w:p w:rsidR="004E71AC" w:rsidRPr="00B11D0E" w:rsidRDefault="004E71AC">
      <w:pPr>
        <w:shd w:val="clear" w:color="auto" w:fill="FFFFFF"/>
        <w:spacing w:after="0" w:line="240" w:lineRule="auto"/>
        <w:jc w:val="center"/>
        <w:rPr>
          <w:rFonts w:ascii="Times New Roman" w:eastAsia="Times New Roman" w:hAnsi="Times New Roman"/>
          <w:b/>
          <w:bCs/>
          <w:i/>
          <w:iCs/>
          <w:color w:val="000000"/>
          <w:sz w:val="36"/>
          <w:szCs w:val="36"/>
          <w:lang w:eastAsia="fr-FR"/>
        </w:rPr>
      </w:pPr>
    </w:p>
    <w:p w:rsidR="004E71AC" w:rsidRPr="00B11D0E" w:rsidRDefault="004E71AC">
      <w:pPr>
        <w:shd w:val="clear" w:color="auto" w:fill="FFFFFF"/>
        <w:spacing w:after="0" w:line="240" w:lineRule="auto"/>
        <w:jc w:val="center"/>
        <w:rPr>
          <w:rFonts w:ascii="Times New Roman" w:eastAsia="Times New Roman" w:hAnsi="Times New Roman"/>
          <w:b/>
          <w:bCs/>
          <w:i/>
          <w:iCs/>
          <w:color w:val="000000"/>
          <w:sz w:val="36"/>
          <w:szCs w:val="36"/>
          <w:lang w:eastAsia="fr-FR"/>
        </w:rPr>
      </w:pPr>
    </w:p>
    <w:p w:rsidR="004E71AC" w:rsidRPr="00B11D0E" w:rsidRDefault="00EB7473">
      <w:pPr>
        <w:shd w:val="clear" w:color="auto" w:fill="FFFFFF"/>
        <w:spacing w:after="0" w:line="240" w:lineRule="auto"/>
        <w:jc w:val="center"/>
        <w:rPr>
          <w:rFonts w:ascii="Times New Roman" w:eastAsia="Times New Roman" w:hAnsi="Times New Roman"/>
          <w:b/>
          <w:bCs/>
          <w:i/>
          <w:iCs/>
          <w:color w:val="000000"/>
          <w:sz w:val="36"/>
          <w:szCs w:val="36"/>
          <w:lang w:eastAsia="fr-FR"/>
        </w:rPr>
      </w:pPr>
      <w:r w:rsidRPr="00B11D0E">
        <w:rPr>
          <w:rFonts w:ascii="Times New Roman" w:eastAsia="Times New Roman" w:hAnsi="Times New Roman"/>
          <w:b/>
          <w:bCs/>
          <w:i/>
          <w:iCs/>
          <w:color w:val="000000"/>
          <w:sz w:val="36"/>
          <w:szCs w:val="36"/>
          <w:lang w:eastAsia="fr-FR"/>
        </w:rPr>
        <w:t>PROJET DE LOI DE FINANCES POUR 2020  (N2272)</w:t>
      </w:r>
    </w:p>
    <w:p w:rsidR="004E71AC" w:rsidRPr="00B11D0E" w:rsidRDefault="00EB7473">
      <w:pPr>
        <w:shd w:val="clear" w:color="auto" w:fill="FFFFFF"/>
        <w:spacing w:after="0" w:line="240" w:lineRule="auto"/>
        <w:jc w:val="center"/>
        <w:rPr>
          <w:rFonts w:ascii="Times New Roman" w:eastAsia="Times New Roman" w:hAnsi="Times New Roman"/>
          <w:b/>
          <w:bCs/>
          <w:i/>
          <w:iCs/>
          <w:color w:val="000000"/>
          <w:sz w:val="36"/>
          <w:szCs w:val="36"/>
          <w:lang w:eastAsia="fr-FR"/>
        </w:rPr>
      </w:pPr>
      <w:r w:rsidRPr="00B11D0E">
        <w:rPr>
          <w:rFonts w:ascii="Times New Roman" w:eastAsia="Times New Roman" w:hAnsi="Times New Roman"/>
          <w:b/>
          <w:bCs/>
          <w:i/>
          <w:iCs/>
          <w:color w:val="000000"/>
          <w:sz w:val="36"/>
          <w:szCs w:val="36"/>
          <w:lang w:eastAsia="fr-FR"/>
        </w:rPr>
        <w:t>AMENDEMENT N…..</w:t>
      </w:r>
    </w:p>
    <w:p w:rsidR="004E71AC" w:rsidRPr="00B11D0E" w:rsidRDefault="00EB7473">
      <w:pPr>
        <w:shd w:val="clear" w:color="auto" w:fill="FFFFFF"/>
        <w:spacing w:after="150" w:line="240" w:lineRule="auto"/>
        <w:jc w:val="center"/>
        <w:rPr>
          <w:rFonts w:ascii="Times New Roman" w:eastAsia="Times New Roman" w:hAnsi="Times New Roman"/>
          <w:color w:val="000000"/>
          <w:sz w:val="24"/>
          <w:szCs w:val="24"/>
          <w:lang w:eastAsia="fr-FR"/>
        </w:rPr>
      </w:pPr>
      <w:r w:rsidRPr="00B11D0E">
        <w:rPr>
          <w:rFonts w:ascii="Times New Roman" w:eastAsia="Times New Roman" w:hAnsi="Times New Roman"/>
          <w:color w:val="000000"/>
          <w:sz w:val="24"/>
          <w:szCs w:val="24"/>
          <w:lang w:eastAsia="fr-FR"/>
        </w:rPr>
        <w:t>présenté par………</w:t>
      </w:r>
    </w:p>
    <w:p w:rsidR="004E71AC" w:rsidRPr="00B11D0E" w:rsidRDefault="004E71AC">
      <w:pPr>
        <w:shd w:val="clear" w:color="auto" w:fill="FFFFFF"/>
        <w:spacing w:after="150" w:line="240" w:lineRule="auto"/>
        <w:jc w:val="center"/>
        <w:rPr>
          <w:rFonts w:ascii="Times New Roman" w:eastAsia="Times New Roman" w:hAnsi="Times New Roman"/>
          <w:color w:val="000000"/>
          <w:sz w:val="24"/>
          <w:szCs w:val="24"/>
          <w:lang w:eastAsia="fr-FR"/>
        </w:rPr>
      </w:pPr>
    </w:p>
    <w:tbl>
      <w:tblPr>
        <w:tblW w:w="2500" w:type="pct"/>
        <w:jc w:val="center"/>
        <w:tblCellMar>
          <w:left w:w="10" w:type="dxa"/>
          <w:right w:w="10" w:type="dxa"/>
        </w:tblCellMar>
        <w:tblLook w:val="0000"/>
      </w:tblPr>
      <w:tblGrid>
        <w:gridCol w:w="4611"/>
      </w:tblGrid>
      <w:tr w:rsidR="004E71AC" w:rsidRPr="00B11D0E">
        <w:trPr>
          <w:jc w:val="center"/>
        </w:trPr>
        <w:tc>
          <w:tcPr>
            <w:tcW w:w="4536" w:type="dxa"/>
            <w:shd w:val="clear" w:color="auto" w:fill="auto"/>
            <w:tcMar>
              <w:top w:w="75" w:type="dxa"/>
              <w:left w:w="75" w:type="dxa"/>
              <w:bottom w:w="75" w:type="dxa"/>
              <w:right w:w="75" w:type="dxa"/>
            </w:tcMar>
          </w:tcPr>
          <w:p w:rsidR="004E71AC" w:rsidRPr="00B11D0E" w:rsidRDefault="004E71AC">
            <w:pPr>
              <w:spacing w:after="0" w:line="240" w:lineRule="auto"/>
              <w:jc w:val="center"/>
              <w:rPr>
                <w:rFonts w:ascii="Times New Roman" w:eastAsia="Times New Roman" w:hAnsi="Times New Roman"/>
                <w:i/>
                <w:iCs/>
                <w:sz w:val="20"/>
                <w:szCs w:val="20"/>
                <w:lang w:eastAsia="fr-FR"/>
              </w:rPr>
            </w:pPr>
          </w:p>
        </w:tc>
      </w:tr>
    </w:tbl>
    <w:p w:rsidR="004E71AC" w:rsidRPr="00B11D0E" w:rsidRDefault="004E71AC">
      <w:pPr>
        <w:shd w:val="clear" w:color="auto" w:fill="FFFFFF"/>
        <w:spacing w:after="150" w:line="240" w:lineRule="auto"/>
        <w:jc w:val="center"/>
        <w:rPr>
          <w:rFonts w:ascii="Times New Roman" w:eastAsia="Times New Roman" w:hAnsi="Times New Roman"/>
          <w:color w:val="000000"/>
          <w:sz w:val="20"/>
          <w:szCs w:val="20"/>
          <w:lang w:eastAsia="fr-FR"/>
        </w:rPr>
      </w:pPr>
    </w:p>
    <w:p w:rsidR="004E71AC" w:rsidRPr="00B11D0E" w:rsidRDefault="00EB7473">
      <w:pPr>
        <w:shd w:val="clear" w:color="auto" w:fill="FFFFFF"/>
        <w:spacing w:after="150" w:line="240" w:lineRule="auto"/>
        <w:jc w:val="center"/>
        <w:rPr>
          <w:rFonts w:ascii="Times New Roman" w:eastAsia="Times New Roman" w:hAnsi="Times New Roman"/>
          <w:color w:val="000000"/>
          <w:sz w:val="20"/>
          <w:szCs w:val="20"/>
          <w:lang w:eastAsia="fr-FR"/>
        </w:rPr>
      </w:pPr>
      <w:r w:rsidRPr="00B11D0E">
        <w:rPr>
          <w:rFonts w:ascii="Times New Roman" w:eastAsia="Times New Roman" w:hAnsi="Times New Roman"/>
          <w:color w:val="000000"/>
          <w:sz w:val="20"/>
          <w:szCs w:val="20"/>
          <w:lang w:eastAsia="fr-FR"/>
        </w:rPr>
        <w:t>----------</w:t>
      </w:r>
    </w:p>
    <w:p w:rsidR="004E71AC" w:rsidRPr="00B11D0E" w:rsidRDefault="00EB7473">
      <w:pPr>
        <w:shd w:val="clear" w:color="auto" w:fill="FFFFFF"/>
        <w:spacing w:after="150" w:line="240" w:lineRule="auto"/>
        <w:jc w:val="center"/>
        <w:rPr>
          <w:rFonts w:ascii="Times New Roman" w:eastAsia="Times New Roman" w:hAnsi="Times New Roman"/>
          <w:b/>
          <w:bCs/>
          <w:i/>
          <w:iCs/>
          <w:color w:val="000000"/>
          <w:sz w:val="24"/>
          <w:szCs w:val="24"/>
          <w:lang w:eastAsia="fr-FR"/>
        </w:rPr>
      </w:pPr>
      <w:r w:rsidRPr="00B11D0E">
        <w:rPr>
          <w:rFonts w:ascii="Times New Roman" w:eastAsia="Times New Roman" w:hAnsi="Times New Roman"/>
          <w:b/>
          <w:bCs/>
          <w:i/>
          <w:iCs/>
          <w:color w:val="000000"/>
          <w:sz w:val="24"/>
          <w:szCs w:val="24"/>
          <w:lang w:eastAsia="fr-FR"/>
        </w:rPr>
        <w:t>ARTICLE ADITIONNEL</w:t>
      </w:r>
    </w:p>
    <w:p w:rsidR="00461865" w:rsidRPr="00B11D0E" w:rsidRDefault="00461865">
      <w:pPr>
        <w:shd w:val="clear" w:color="auto" w:fill="FFFFFF"/>
        <w:spacing w:after="150" w:line="240" w:lineRule="auto"/>
        <w:jc w:val="center"/>
        <w:rPr>
          <w:rFonts w:ascii="Times New Roman" w:eastAsia="Times New Roman" w:hAnsi="Times New Roman"/>
          <w:b/>
          <w:bCs/>
          <w:i/>
          <w:iCs/>
          <w:color w:val="000000"/>
          <w:sz w:val="24"/>
          <w:szCs w:val="24"/>
          <w:lang w:eastAsia="fr-FR"/>
        </w:rPr>
      </w:pPr>
      <w:r w:rsidRPr="00B11D0E">
        <w:rPr>
          <w:rFonts w:ascii="Times New Roman" w:eastAsia="Times New Roman" w:hAnsi="Times New Roman"/>
          <w:b/>
          <w:bCs/>
          <w:i/>
          <w:iCs/>
          <w:color w:val="000000"/>
          <w:sz w:val="24"/>
          <w:szCs w:val="24"/>
          <w:lang w:eastAsia="fr-FR"/>
        </w:rPr>
        <w:t xml:space="preserve">APRÈS L’ARTICLE x, insérer l’article suivant : </w:t>
      </w:r>
    </w:p>
    <w:p w:rsidR="004E71AC" w:rsidRPr="00B11D0E" w:rsidRDefault="00C16645">
      <w:pPr>
        <w:shd w:val="clear" w:color="auto" w:fill="FFFFFF"/>
        <w:spacing w:after="150" w:line="240" w:lineRule="auto"/>
        <w:rPr>
          <w:rFonts w:ascii="Times New Roman" w:eastAsia="Times New Roman" w:hAnsi="Times New Roman"/>
          <w:iCs/>
          <w:color w:val="000000"/>
          <w:lang w:eastAsia="fr-FR"/>
        </w:rPr>
      </w:pPr>
      <w:r w:rsidRPr="00B11D0E">
        <w:rPr>
          <w:rFonts w:ascii="Times New Roman" w:eastAsia="Times New Roman" w:hAnsi="Times New Roman"/>
          <w:iCs/>
          <w:color w:val="000000"/>
          <w:lang w:eastAsia="fr-FR"/>
        </w:rPr>
        <w:t>Dans le deuxième alinéa de l’article L. 1251-32 du Code du travail, la phrase « </w:t>
      </w:r>
      <w:r w:rsidRPr="00B11D0E">
        <w:rPr>
          <w:rFonts w:ascii="Times New Roman" w:hAnsi="Times New Roman"/>
          <w:color w:val="000000"/>
          <w:sz w:val="19"/>
          <w:szCs w:val="19"/>
          <w:shd w:val="clear" w:color="auto" w:fill="FFFFFF"/>
        </w:rPr>
        <w:t>Cette indemnité est égale à 15 % de la rémunération totale brute due au salarié. » est modifiée par « Cette indemnité est égale à 15 % de la rémunération totale brute due au salarié. »</w:t>
      </w:r>
      <w:r w:rsidR="00EB7473" w:rsidRPr="00B11D0E">
        <w:rPr>
          <w:rFonts w:ascii="Times New Roman" w:eastAsia="Times New Roman" w:hAnsi="Times New Roman"/>
          <w:iCs/>
          <w:color w:val="000000"/>
          <w:lang w:eastAsia="fr-FR"/>
        </w:rPr>
        <w:t xml:space="preserve"> </w:t>
      </w:r>
    </w:p>
    <w:p w:rsidR="00C16645" w:rsidRPr="00B11D0E" w:rsidRDefault="00C16645" w:rsidP="00C16645">
      <w:pPr>
        <w:shd w:val="clear" w:color="auto" w:fill="FFFFFF"/>
        <w:spacing w:after="150" w:line="240" w:lineRule="auto"/>
        <w:rPr>
          <w:rFonts w:ascii="Times New Roman" w:eastAsia="Times New Roman" w:hAnsi="Times New Roman"/>
          <w:iCs/>
          <w:color w:val="000000"/>
          <w:lang w:eastAsia="fr-FR"/>
        </w:rPr>
      </w:pPr>
      <w:r w:rsidRPr="00B11D0E">
        <w:rPr>
          <w:rFonts w:ascii="Times New Roman" w:eastAsia="Times New Roman" w:hAnsi="Times New Roman"/>
          <w:iCs/>
          <w:color w:val="000000"/>
          <w:lang w:eastAsia="fr-FR"/>
        </w:rPr>
        <w:t>Dans le deuxième alinéa de l’article L. 1243-8 du Code du travail, la phrase « </w:t>
      </w:r>
      <w:r w:rsidRPr="00B11D0E">
        <w:rPr>
          <w:rFonts w:ascii="Times New Roman" w:hAnsi="Times New Roman"/>
          <w:color w:val="000000"/>
          <w:sz w:val="19"/>
          <w:szCs w:val="19"/>
          <w:shd w:val="clear" w:color="auto" w:fill="FFFFFF"/>
        </w:rPr>
        <w:t>Cette indemnité est égale à 15 % de la rémunération totale brute versée au salarié. » est modifiée par « Cette indemnité est égale à 15 % de la rémunération totale brute versée au salarié. »</w:t>
      </w:r>
      <w:r w:rsidRPr="00B11D0E">
        <w:rPr>
          <w:rFonts w:ascii="Times New Roman" w:eastAsia="Times New Roman" w:hAnsi="Times New Roman"/>
          <w:iCs/>
          <w:color w:val="000000"/>
          <w:lang w:eastAsia="fr-FR"/>
        </w:rPr>
        <w:t xml:space="preserve"> </w:t>
      </w:r>
    </w:p>
    <w:p w:rsidR="00C16645" w:rsidRPr="00B11D0E" w:rsidRDefault="00C16645" w:rsidP="00C16645">
      <w:pPr>
        <w:shd w:val="clear" w:color="auto" w:fill="FFFFFF"/>
        <w:spacing w:after="150" w:line="240" w:lineRule="auto"/>
        <w:rPr>
          <w:rFonts w:ascii="Times New Roman" w:eastAsia="Times New Roman" w:hAnsi="Times New Roman"/>
          <w:iCs/>
          <w:color w:val="000000"/>
          <w:lang w:eastAsia="fr-FR"/>
        </w:rPr>
      </w:pPr>
      <w:r w:rsidRPr="00B11D0E">
        <w:rPr>
          <w:rFonts w:ascii="Times New Roman" w:eastAsia="Times New Roman" w:hAnsi="Times New Roman"/>
          <w:iCs/>
          <w:color w:val="000000"/>
          <w:lang w:eastAsia="fr-FR"/>
        </w:rPr>
        <w:t>L’article L. 1243-9 du Code du travail est modifié comme suit : les mots « </w:t>
      </w:r>
      <w:r w:rsidRPr="00B11D0E">
        <w:rPr>
          <w:rFonts w:ascii="Times New Roman" w:hAnsi="Times New Roman"/>
          <w:color w:val="000000"/>
          <w:sz w:val="19"/>
          <w:szCs w:val="19"/>
          <w:shd w:val="clear" w:color="auto" w:fill="FFFFFF"/>
        </w:rPr>
        <w:t>limiter le montant de l'indemnité de fin de contrat à hauteur de 6 % » sont modifiés par « limiter le montant de l'indemnité de fin de contrat à hauteur de 11 % »</w:t>
      </w:r>
      <w:r w:rsidRPr="00B11D0E">
        <w:rPr>
          <w:rFonts w:ascii="Times New Roman" w:eastAsia="Times New Roman" w:hAnsi="Times New Roman"/>
          <w:iCs/>
          <w:color w:val="000000"/>
          <w:lang w:eastAsia="fr-FR"/>
        </w:rPr>
        <w:t xml:space="preserve"> </w:t>
      </w:r>
    </w:p>
    <w:p w:rsidR="00C16645" w:rsidRPr="00B11D0E" w:rsidRDefault="00C16645" w:rsidP="00C16645">
      <w:pPr>
        <w:shd w:val="clear" w:color="auto" w:fill="FFFFFF"/>
        <w:spacing w:after="150" w:line="240" w:lineRule="auto"/>
        <w:rPr>
          <w:rFonts w:ascii="Times New Roman" w:eastAsia="Times New Roman" w:hAnsi="Times New Roman"/>
          <w:iCs/>
          <w:color w:val="000000"/>
          <w:lang w:eastAsia="fr-FR"/>
        </w:rPr>
      </w:pPr>
      <w:r w:rsidRPr="00B11D0E">
        <w:rPr>
          <w:rFonts w:ascii="Times New Roman" w:eastAsia="Times New Roman" w:hAnsi="Times New Roman"/>
          <w:iCs/>
          <w:color w:val="000000"/>
          <w:lang w:eastAsia="fr-FR"/>
        </w:rPr>
        <w:t xml:space="preserve">L’article L. 1251-58-4 du Code du travail, </w:t>
      </w:r>
      <w:r w:rsidR="00B11D0E" w:rsidRPr="00B11D0E">
        <w:rPr>
          <w:rFonts w:ascii="Times New Roman" w:eastAsia="Times New Roman" w:hAnsi="Times New Roman"/>
          <w:iCs/>
          <w:color w:val="000000"/>
          <w:lang w:eastAsia="fr-FR"/>
        </w:rPr>
        <w:t xml:space="preserve">les mots « L. 1251-32, » sont supprimés. L’alinéa suivant est ajouté : « Par dérogation à l’article L.1251-32, le salarié en </w:t>
      </w:r>
      <w:r w:rsidR="00B11D0E" w:rsidRPr="00B11D0E">
        <w:rPr>
          <w:rFonts w:ascii="Times New Roman" w:hAnsi="Times New Roman"/>
          <w:color w:val="000000"/>
          <w:sz w:val="19"/>
          <w:szCs w:val="19"/>
          <w:shd w:val="clear" w:color="auto" w:fill="FFFFFF"/>
        </w:rPr>
        <w:t>contrat à durée indéterminée bénéficie d’une indemnité spécifique, telle que définie par l’article L. 1251-32 alinéa 2 et 3, à hauteur de 5 %. Cette indemnité n’est pas retenue pour le calcul de la rémunération mensuelle minimale garantie édictée par l’article L. 1261-58-3 »</w:t>
      </w:r>
      <w:r w:rsidRPr="00B11D0E">
        <w:rPr>
          <w:rFonts w:ascii="Times New Roman" w:eastAsia="Times New Roman" w:hAnsi="Times New Roman"/>
          <w:iCs/>
          <w:color w:val="000000"/>
          <w:lang w:eastAsia="fr-FR"/>
        </w:rPr>
        <w:t xml:space="preserve"> </w:t>
      </w:r>
    </w:p>
    <w:p w:rsidR="00C16645" w:rsidRPr="00B11D0E" w:rsidRDefault="00C16645">
      <w:pPr>
        <w:shd w:val="clear" w:color="auto" w:fill="FFFFFF"/>
        <w:spacing w:after="150" w:line="240" w:lineRule="auto"/>
        <w:rPr>
          <w:rFonts w:ascii="Times New Roman" w:eastAsia="Times New Roman" w:hAnsi="Times New Roman"/>
          <w:iCs/>
          <w:color w:val="000000"/>
          <w:lang w:eastAsia="fr-FR"/>
        </w:rPr>
      </w:pPr>
    </w:p>
    <w:p w:rsidR="004E71AC" w:rsidRPr="00B11D0E" w:rsidRDefault="00EB7473">
      <w:pPr>
        <w:shd w:val="clear" w:color="auto" w:fill="FFFFFF"/>
        <w:spacing w:before="450" w:after="150" w:line="240" w:lineRule="auto"/>
        <w:jc w:val="center"/>
        <w:rPr>
          <w:rFonts w:ascii="Times New Roman" w:eastAsia="Times New Roman" w:hAnsi="Times New Roman"/>
          <w:b/>
          <w:bCs/>
          <w:color w:val="000000"/>
          <w:sz w:val="24"/>
          <w:szCs w:val="24"/>
          <w:u w:val="single"/>
          <w:lang w:eastAsia="fr-FR"/>
        </w:rPr>
      </w:pPr>
      <w:r w:rsidRPr="00B11D0E">
        <w:rPr>
          <w:rFonts w:ascii="Times New Roman" w:eastAsia="Times New Roman" w:hAnsi="Times New Roman"/>
          <w:b/>
          <w:bCs/>
          <w:color w:val="000000"/>
          <w:sz w:val="24"/>
          <w:szCs w:val="24"/>
          <w:u w:val="single"/>
          <w:lang w:eastAsia="fr-FR"/>
        </w:rPr>
        <w:t>EXPOSÉ SOMMAIRE</w:t>
      </w:r>
    </w:p>
    <w:p w:rsidR="004E71AC" w:rsidRPr="00B11D0E" w:rsidRDefault="004E71AC">
      <w:pPr>
        <w:shd w:val="clear" w:color="auto" w:fill="FFFFFF"/>
        <w:spacing w:before="450" w:after="150" w:line="240" w:lineRule="auto"/>
        <w:jc w:val="center"/>
        <w:rPr>
          <w:rFonts w:ascii="Times New Roman" w:eastAsia="Times New Roman" w:hAnsi="Times New Roman"/>
          <w:b/>
          <w:bCs/>
          <w:color w:val="000000"/>
          <w:sz w:val="24"/>
          <w:szCs w:val="24"/>
          <w:u w:val="single"/>
          <w:lang w:eastAsia="fr-FR"/>
        </w:rPr>
      </w:pPr>
    </w:p>
    <w:p w:rsidR="00B11D0E" w:rsidRPr="00B11D0E" w:rsidRDefault="00B11D0E">
      <w:pPr>
        <w:pStyle w:val="Default"/>
        <w:rPr>
          <w:sz w:val="22"/>
          <w:szCs w:val="22"/>
        </w:rPr>
      </w:pPr>
      <w:r w:rsidRPr="00B11D0E">
        <w:rPr>
          <w:sz w:val="22"/>
          <w:szCs w:val="22"/>
        </w:rPr>
        <w:t>La présente loi vise à restreindre l’usage des contrats courts ou temporaires. L’objectif, jusqu’à présent passe par une taxation supplémentaire de ces contrats. Le Syndicat CFTC Intérim propose, en altern</w:t>
      </w:r>
      <w:r w:rsidRPr="00B11D0E">
        <w:rPr>
          <w:sz w:val="22"/>
          <w:szCs w:val="22"/>
        </w:rPr>
        <w:t>a</w:t>
      </w:r>
      <w:r w:rsidRPr="00B11D0E">
        <w:rPr>
          <w:sz w:val="22"/>
          <w:szCs w:val="22"/>
        </w:rPr>
        <w:t>tive, d’augmenter l’indemnité de fin de mission.</w:t>
      </w:r>
    </w:p>
    <w:p w:rsidR="00B11D0E" w:rsidRPr="00B11D0E" w:rsidRDefault="00B11D0E">
      <w:pPr>
        <w:pStyle w:val="Default"/>
        <w:rPr>
          <w:sz w:val="22"/>
          <w:szCs w:val="22"/>
        </w:rPr>
      </w:pPr>
    </w:p>
    <w:p w:rsidR="00B11D0E" w:rsidRPr="00B11D0E" w:rsidRDefault="00B11D0E">
      <w:pPr>
        <w:pStyle w:val="Default"/>
        <w:rPr>
          <w:sz w:val="22"/>
          <w:szCs w:val="22"/>
        </w:rPr>
      </w:pPr>
      <w:r w:rsidRPr="00B11D0E">
        <w:rPr>
          <w:sz w:val="22"/>
          <w:szCs w:val="22"/>
        </w:rPr>
        <w:t>Cette option offre les avantages suivants :</w:t>
      </w:r>
    </w:p>
    <w:p w:rsidR="00B11D0E" w:rsidRPr="00B11D0E" w:rsidRDefault="00B11D0E" w:rsidP="00B11D0E">
      <w:pPr>
        <w:jc w:val="both"/>
        <w:rPr>
          <w:rFonts w:ascii="Times New Roman" w:hAnsi="Times New Roman"/>
        </w:rPr>
      </w:pPr>
      <w:r w:rsidRPr="00B11D0E">
        <w:rPr>
          <w:rFonts w:ascii="Times New Roman" w:hAnsi="Times New Roman"/>
        </w:rPr>
        <w:t>Le salarié intérimaire, dont la situation de précarité est évidente, verra ainsi son pouvoir d’achat augmenté de fait, ce qui n’est pas sans incidence dans un contexte économique de hausses diverses sur les éléments essentiels que sont l’énergie et le transport.</w:t>
      </w:r>
    </w:p>
    <w:p w:rsidR="00B11D0E" w:rsidRPr="00B11D0E" w:rsidRDefault="00B11D0E" w:rsidP="00B11D0E">
      <w:pPr>
        <w:jc w:val="both"/>
        <w:rPr>
          <w:rFonts w:ascii="Times New Roman" w:hAnsi="Times New Roman"/>
        </w:rPr>
      </w:pPr>
      <w:r w:rsidRPr="00B11D0E">
        <w:rPr>
          <w:rFonts w:ascii="Times New Roman" w:hAnsi="Times New Roman"/>
        </w:rPr>
        <w:t>Cette indemnité étant intégralement soumise à charges et cotisations, la mesure permettra également de contribuer à l’équilibre des diverses caisses, qu’elles soient retraites, chômage ou maladie.</w:t>
      </w:r>
    </w:p>
    <w:p w:rsidR="00B11D0E" w:rsidRDefault="00B11D0E" w:rsidP="00B11D0E">
      <w:pPr>
        <w:jc w:val="both"/>
        <w:rPr>
          <w:rFonts w:ascii="Times New Roman" w:hAnsi="Times New Roman"/>
        </w:rPr>
      </w:pPr>
      <w:r w:rsidRPr="00B11D0E">
        <w:rPr>
          <w:rFonts w:ascii="Times New Roman" w:hAnsi="Times New Roman"/>
        </w:rPr>
        <w:lastRenderedPageBreak/>
        <w:t>L’état continuera à y trouver bénéfice puisque l’indemnité est également soumise à imposition.</w:t>
      </w:r>
    </w:p>
    <w:p w:rsidR="001C64F5" w:rsidRDefault="001C64F5" w:rsidP="00B11D0E">
      <w:pPr>
        <w:jc w:val="both"/>
        <w:rPr>
          <w:rFonts w:ascii="Times New Roman" w:hAnsi="Times New Roman"/>
        </w:rPr>
      </w:pPr>
      <w:r>
        <w:rPr>
          <w:rFonts w:ascii="Times New Roman" w:hAnsi="Times New Roman"/>
        </w:rPr>
        <w:t>La proposition de la CFTC vise ainsi :</w:t>
      </w:r>
    </w:p>
    <w:p w:rsidR="001C64F5" w:rsidRDefault="001C64F5" w:rsidP="001C64F5">
      <w:pPr>
        <w:pStyle w:val="Paragraphedeliste"/>
        <w:numPr>
          <w:ilvl w:val="0"/>
          <w:numId w:val="1"/>
        </w:numPr>
        <w:jc w:val="both"/>
        <w:rPr>
          <w:rFonts w:ascii="Times New Roman" w:hAnsi="Times New Roman"/>
        </w:rPr>
      </w:pPr>
      <w:r>
        <w:rPr>
          <w:rFonts w:ascii="Times New Roman" w:hAnsi="Times New Roman"/>
        </w:rPr>
        <w:t xml:space="preserve">à </w:t>
      </w:r>
      <w:r w:rsidRPr="001C64F5">
        <w:rPr>
          <w:rFonts w:ascii="Times New Roman" w:hAnsi="Times New Roman"/>
        </w:rPr>
        <w:t xml:space="preserve">augmenter le taux de l’indemnité de fin de mission </w:t>
      </w:r>
      <w:r>
        <w:rPr>
          <w:rFonts w:ascii="Times New Roman" w:hAnsi="Times New Roman"/>
        </w:rPr>
        <w:t xml:space="preserve">est augmenté de 5 %, passant de </w:t>
      </w:r>
      <w:proofErr w:type="spellStart"/>
      <w:r w:rsidRPr="001C64F5">
        <w:rPr>
          <w:rFonts w:ascii="Times New Roman" w:hAnsi="Times New Roman"/>
        </w:rPr>
        <w:t>de</w:t>
      </w:r>
      <w:proofErr w:type="spellEnd"/>
      <w:r w:rsidRPr="001C64F5">
        <w:rPr>
          <w:rFonts w:ascii="Times New Roman" w:hAnsi="Times New Roman"/>
        </w:rPr>
        <w:t xml:space="preserve"> 10 à 15 % pour les contrats de travail temporaire.</w:t>
      </w:r>
    </w:p>
    <w:p w:rsidR="001C64F5" w:rsidRDefault="001C64F5" w:rsidP="001C64F5">
      <w:pPr>
        <w:pStyle w:val="Paragraphedeliste"/>
        <w:numPr>
          <w:ilvl w:val="0"/>
          <w:numId w:val="1"/>
        </w:numPr>
        <w:jc w:val="both"/>
        <w:rPr>
          <w:rFonts w:ascii="Times New Roman" w:hAnsi="Times New Roman"/>
        </w:rPr>
      </w:pPr>
      <w:r>
        <w:rPr>
          <w:rFonts w:ascii="Times New Roman" w:hAnsi="Times New Roman"/>
        </w:rPr>
        <w:t xml:space="preserve">par parallélisme et afin de ne pas pénaliser arbitrairement le secteur économique du travail temporaire, le taux de l’indemnité de fin de mission des CDD est également augmenté de 5 % </w:t>
      </w:r>
    </w:p>
    <w:p w:rsidR="001C64F5" w:rsidRDefault="001C64F5" w:rsidP="001C64F5">
      <w:pPr>
        <w:jc w:val="both"/>
        <w:rPr>
          <w:rFonts w:ascii="Times New Roman" w:hAnsi="Times New Roman"/>
        </w:rPr>
      </w:pPr>
      <w:r>
        <w:rPr>
          <w:rFonts w:ascii="Times New Roman" w:hAnsi="Times New Roman"/>
        </w:rPr>
        <w:t>Concernant le salarié intérimaire en CDI avec l’entreprise de travail temporaire, l’indemnité de fin de mission était réservée à l’alimentation du fond de sécurisation des parcours professionnels. L’alimentation actuelle de ce fond se suffit en l’état. Aussi la création d’une indemnité de fin de mission spécifique à hauteur de 5% sera mise en place. Au vu des remontées des salariés concernés par ce type de contrat, ce point permettra de rendre le dispositif plus attractif.</w:t>
      </w:r>
    </w:p>
    <w:p w:rsidR="001C64F5" w:rsidRPr="001C64F5" w:rsidRDefault="00EB7473" w:rsidP="001C64F5">
      <w:pPr>
        <w:jc w:val="both"/>
        <w:rPr>
          <w:rFonts w:ascii="Times New Roman" w:hAnsi="Times New Roman"/>
        </w:rPr>
      </w:pPr>
      <w:r>
        <w:rPr>
          <w:rFonts w:ascii="Times New Roman" w:hAnsi="Times New Roman"/>
        </w:rPr>
        <w:t>Pour finir</w:t>
      </w:r>
      <w:r w:rsidR="001C64F5">
        <w:rPr>
          <w:rFonts w:ascii="Times New Roman" w:hAnsi="Times New Roman"/>
        </w:rPr>
        <w:t xml:space="preserve">, l’augmentation du taux de l’indemnité de fin de mission, que ce soit pour le CDD ou le Contrat de travail temporaire, portera de manière directe, ou indirecte dans le cas du travail temporaire, sur l’entreprise utilisatrice au travers de la facturation. </w:t>
      </w:r>
    </w:p>
    <w:p w:rsidR="001C64F5" w:rsidRPr="00B11D0E" w:rsidRDefault="001C64F5" w:rsidP="00B11D0E">
      <w:pPr>
        <w:jc w:val="both"/>
        <w:rPr>
          <w:rFonts w:ascii="Times New Roman" w:hAnsi="Times New Roman"/>
        </w:rPr>
      </w:pPr>
      <w:r>
        <w:rPr>
          <w:rFonts w:ascii="Times New Roman" w:hAnsi="Times New Roman"/>
        </w:rPr>
        <w:t xml:space="preserve"> </w:t>
      </w:r>
      <w:bookmarkStart w:id="0" w:name="_GoBack"/>
      <w:bookmarkEnd w:id="0"/>
    </w:p>
    <w:p w:rsidR="00B11D0E" w:rsidRPr="00B11D0E" w:rsidRDefault="00B11D0E" w:rsidP="00B11D0E">
      <w:pPr>
        <w:ind w:firstLine="708"/>
        <w:jc w:val="both"/>
        <w:rPr>
          <w:rFonts w:ascii="Times New Roman" w:hAnsi="Times New Roman"/>
        </w:rPr>
      </w:pPr>
    </w:p>
    <w:p w:rsidR="004E71AC" w:rsidRPr="00B11D0E" w:rsidRDefault="004E71AC">
      <w:pPr>
        <w:pStyle w:val="Default"/>
        <w:rPr>
          <w:sz w:val="22"/>
          <w:szCs w:val="22"/>
        </w:rPr>
      </w:pPr>
    </w:p>
    <w:p w:rsidR="004E71AC" w:rsidRPr="00B11D0E" w:rsidRDefault="00EB7473">
      <w:pPr>
        <w:rPr>
          <w:rFonts w:ascii="Times New Roman" w:hAnsi="Times New Roman"/>
        </w:rPr>
      </w:pPr>
      <w:r w:rsidRPr="00B11D0E">
        <w:rPr>
          <w:rFonts w:ascii="Times New Roman" w:hAnsi="Times New Roman"/>
        </w:rPr>
        <w:t>.</w:t>
      </w:r>
    </w:p>
    <w:sectPr w:rsidR="004E71AC" w:rsidRPr="00B11D0E" w:rsidSect="004417BE">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7BE" w:rsidRDefault="00EB7473">
      <w:pPr>
        <w:spacing w:after="0" w:line="240" w:lineRule="auto"/>
      </w:pPr>
      <w:r>
        <w:separator/>
      </w:r>
    </w:p>
  </w:endnote>
  <w:endnote w:type="continuationSeparator" w:id="0">
    <w:p w:rsidR="004417BE" w:rsidRDefault="00EB7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7BE" w:rsidRDefault="00EB7473">
      <w:pPr>
        <w:spacing w:after="0" w:line="240" w:lineRule="auto"/>
      </w:pPr>
      <w:r>
        <w:rPr>
          <w:color w:val="000000"/>
        </w:rPr>
        <w:separator/>
      </w:r>
    </w:p>
  </w:footnote>
  <w:footnote w:type="continuationSeparator" w:id="0">
    <w:p w:rsidR="004417BE" w:rsidRDefault="00EB7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97EB4"/>
    <w:multiLevelType w:val="hybridMultilevel"/>
    <w:tmpl w:val="85AA734E"/>
    <w:lvl w:ilvl="0" w:tplc="DC84353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4E71AC"/>
    <w:rsid w:val="001C64F5"/>
    <w:rsid w:val="004417BE"/>
    <w:rsid w:val="00461865"/>
    <w:rsid w:val="004E71AC"/>
    <w:rsid w:val="00B11D0E"/>
    <w:rsid w:val="00B30A2B"/>
    <w:rsid w:val="00C00EBE"/>
    <w:rsid w:val="00C16645"/>
    <w:rsid w:val="00EB74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BE"/>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417BE"/>
    <w:pPr>
      <w:autoSpaceDE w:val="0"/>
      <w:spacing w:after="0" w:line="240" w:lineRule="auto"/>
      <w:textAlignment w:val="auto"/>
    </w:pPr>
    <w:rPr>
      <w:rFonts w:ascii="Times New Roman" w:hAnsi="Times New Roman"/>
      <w:color w:val="000000"/>
      <w:sz w:val="24"/>
      <w:szCs w:val="24"/>
    </w:rPr>
  </w:style>
  <w:style w:type="character" w:styleId="Lienhypertexte">
    <w:name w:val="Hyperlink"/>
    <w:basedOn w:val="Policepardfaut"/>
    <w:uiPriority w:val="99"/>
    <w:semiHidden/>
    <w:unhideWhenUsed/>
    <w:rsid w:val="00C16645"/>
    <w:rPr>
      <w:color w:val="0000FF"/>
      <w:u w:val="single"/>
    </w:rPr>
  </w:style>
  <w:style w:type="paragraph" w:styleId="Paragraphedeliste">
    <w:name w:val="List Paragraph"/>
    <w:basedOn w:val="Normal"/>
    <w:uiPriority w:val="34"/>
    <w:qFormat/>
    <w:rsid w:val="001C64F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2946</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Manpower</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MARCHAT Agnes</dc:creator>
  <dc:description/>
  <cp:lastModifiedBy>Jacqueau</cp:lastModifiedBy>
  <cp:revision>2</cp:revision>
  <cp:lastPrinted>2019-10-09T15:18:00Z</cp:lastPrinted>
  <dcterms:created xsi:type="dcterms:W3CDTF">2019-10-09T17:41:00Z</dcterms:created>
  <dcterms:modified xsi:type="dcterms:W3CDTF">2019-10-09T17:41:00Z</dcterms:modified>
</cp:coreProperties>
</file>